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DDB" w:rsidRPr="0096526D" w:rsidRDefault="00111DDB" w:rsidP="00111DDB">
      <w:pPr>
        <w:rPr>
          <w:sz w:val="24"/>
          <w:szCs w:val="24"/>
          <w:u w:val="single"/>
        </w:rPr>
      </w:pPr>
      <w:bookmarkStart w:id="0" w:name="_GoBack"/>
      <w:bookmarkEnd w:id="0"/>
      <w:r w:rsidRPr="0096526D">
        <w:rPr>
          <w:sz w:val="24"/>
          <w:szCs w:val="24"/>
          <w:u w:val="single"/>
        </w:rPr>
        <w:t xml:space="preserve">Gove’s Standards on </w:t>
      </w:r>
      <w:r w:rsidR="00A26F89" w:rsidRPr="0096526D">
        <w:rPr>
          <w:sz w:val="24"/>
          <w:szCs w:val="24"/>
          <w:u w:val="single"/>
        </w:rPr>
        <w:t>Spoken English and Child centred approaches to teaching</w:t>
      </w:r>
      <w:r w:rsidRPr="0096526D">
        <w:rPr>
          <w:sz w:val="24"/>
          <w:szCs w:val="24"/>
          <w:u w:val="single"/>
        </w:rPr>
        <w:t>.</w:t>
      </w:r>
      <w:r w:rsidR="00D57D8D" w:rsidRPr="0096526D">
        <w:rPr>
          <w:sz w:val="24"/>
          <w:szCs w:val="24"/>
          <w:u w:val="single"/>
        </w:rPr>
        <w:t xml:space="preserve"> </w:t>
      </w:r>
    </w:p>
    <w:p w:rsidR="0096526D" w:rsidRPr="0096526D" w:rsidRDefault="0096526D" w:rsidP="0096526D">
      <w:pPr>
        <w:spacing w:line="276" w:lineRule="auto"/>
        <w:rPr>
          <w:rFonts w:asciiTheme="minorHAnsi" w:eastAsiaTheme="minorHAnsi" w:hAnsiTheme="minorHAnsi" w:cstheme="minorHAnsi"/>
          <w:sz w:val="24"/>
          <w:szCs w:val="24"/>
          <w:lang w:val="en-US" w:eastAsia="en-US"/>
        </w:rPr>
      </w:pPr>
      <w:r w:rsidRPr="0096526D">
        <w:rPr>
          <w:rFonts w:asciiTheme="minorHAnsi" w:eastAsiaTheme="majorEastAsia" w:hAnsiTheme="minorHAnsi" w:cstheme="minorHAnsi"/>
          <w:color w:val="000000" w:themeColor="text1"/>
          <w:kern w:val="24"/>
          <w:sz w:val="24"/>
          <w:szCs w:val="24"/>
          <w:lang w:eastAsia="en-US"/>
        </w:rPr>
        <w:t>Towards the end of the 20</w:t>
      </w:r>
      <w:r w:rsidRPr="0096526D">
        <w:rPr>
          <w:rFonts w:asciiTheme="minorHAnsi" w:eastAsiaTheme="majorEastAsia" w:hAnsiTheme="minorHAnsi" w:cstheme="minorHAnsi"/>
          <w:color w:val="000000" w:themeColor="text1"/>
          <w:kern w:val="24"/>
          <w:sz w:val="24"/>
          <w:szCs w:val="24"/>
          <w:vertAlign w:val="superscript"/>
          <w:lang w:eastAsia="en-US"/>
        </w:rPr>
        <w:t>th</w:t>
      </w:r>
      <w:r w:rsidRPr="0096526D">
        <w:rPr>
          <w:rFonts w:asciiTheme="minorHAnsi" w:eastAsiaTheme="majorEastAsia" w:hAnsiTheme="minorHAnsi" w:cstheme="minorHAnsi"/>
          <w:color w:val="000000" w:themeColor="text1"/>
          <w:kern w:val="24"/>
          <w:sz w:val="24"/>
          <w:szCs w:val="24"/>
          <w:lang w:eastAsia="en-US"/>
        </w:rPr>
        <w:t xml:space="preserve"> century English teachers started to develop a new model of talk. They were</w:t>
      </w:r>
      <w:r w:rsidRPr="0096526D">
        <w:rPr>
          <w:rFonts w:asciiTheme="minorHAnsi" w:eastAsiaTheme="minorHAnsi" w:hAnsiTheme="minorHAnsi" w:cstheme="minorHAnsi"/>
          <w:sz w:val="24"/>
          <w:szCs w:val="24"/>
          <w:lang w:val="en-US" w:eastAsia="en-US"/>
        </w:rPr>
        <w:t xml:space="preserve"> </w:t>
      </w:r>
      <w:r w:rsidRPr="0096526D">
        <w:rPr>
          <w:rFonts w:asciiTheme="minorHAnsi" w:eastAsiaTheme="minorEastAsia" w:hAnsiTheme="minorHAnsi" w:cstheme="minorHAnsi"/>
          <w:color w:val="000000" w:themeColor="text1"/>
          <w:kern w:val="24"/>
          <w:sz w:val="24"/>
          <w:szCs w:val="24"/>
          <w:lang w:eastAsia="en-US"/>
        </w:rPr>
        <w:t>moving away from ‘an elocution model of spoken language....to a view of talk’ as the way children ‘“represent” the world...by telling someone about it and in so doing clarifying it for ourselves’(Howe, 1992:5). This view of talk and learning is still controversial today and the dua</w:t>
      </w:r>
      <w:r>
        <w:rPr>
          <w:rFonts w:asciiTheme="minorHAnsi" w:eastAsiaTheme="minorEastAsia" w:hAnsiTheme="minorHAnsi" w:cstheme="minorHAnsi"/>
          <w:color w:val="000000" w:themeColor="text1"/>
          <w:kern w:val="24"/>
          <w:sz w:val="24"/>
          <w:szCs w:val="24"/>
          <w:lang w:eastAsia="en-US"/>
        </w:rPr>
        <w:t>l role of talk in the classroom</w:t>
      </w:r>
      <w:r w:rsidRPr="0096526D">
        <w:rPr>
          <w:rFonts w:asciiTheme="minorHAnsi" w:eastAsiaTheme="minorEastAsia" w:hAnsiTheme="minorHAnsi" w:cstheme="minorHAnsi"/>
          <w:color w:val="000000" w:themeColor="text1"/>
          <w:kern w:val="24"/>
          <w:sz w:val="24"/>
          <w:szCs w:val="24"/>
          <w:lang w:eastAsia="en-US"/>
        </w:rPr>
        <w:t xml:space="preserve">, in developing skills in spoken language and using talk to learn, is not always fully understood.  </w:t>
      </w:r>
    </w:p>
    <w:p w:rsidR="00C00956" w:rsidRPr="0096526D" w:rsidRDefault="002D222E" w:rsidP="00111DDB">
      <w:pPr>
        <w:rPr>
          <w:sz w:val="24"/>
          <w:szCs w:val="24"/>
        </w:rPr>
      </w:pPr>
      <w:r w:rsidRPr="0096526D">
        <w:rPr>
          <w:sz w:val="24"/>
          <w:szCs w:val="24"/>
        </w:rPr>
        <w:t>If we compare the</w:t>
      </w:r>
      <w:r w:rsidR="00A26F89" w:rsidRPr="0096526D">
        <w:rPr>
          <w:sz w:val="24"/>
          <w:szCs w:val="24"/>
        </w:rPr>
        <w:t xml:space="preserve"> </w:t>
      </w:r>
      <w:r w:rsidR="00111DDB" w:rsidRPr="0096526D">
        <w:rPr>
          <w:sz w:val="24"/>
          <w:szCs w:val="24"/>
        </w:rPr>
        <w:t>talk for learning model of spoken language and its role in learning with that advocated in the Newbold and N</w:t>
      </w:r>
      <w:r w:rsidR="00A26F89" w:rsidRPr="0096526D">
        <w:rPr>
          <w:sz w:val="24"/>
          <w:szCs w:val="24"/>
        </w:rPr>
        <w:t>orwood Reports</w:t>
      </w:r>
      <w:r w:rsidR="00111DDB" w:rsidRPr="0096526D">
        <w:rPr>
          <w:sz w:val="24"/>
          <w:szCs w:val="24"/>
        </w:rPr>
        <w:t>, we can see how this ran into conflict with a prescriptive view that maintained that Standard English had a superior linguistic status to other, non-standard dialects. In the Norwood Report, Howe (1992) highlights how the writers had suggested that ‘refinement of speech indicates a certain graciousness of thought</w:t>
      </w:r>
      <w:r w:rsidR="00C00956" w:rsidRPr="0096526D">
        <w:rPr>
          <w:sz w:val="24"/>
          <w:szCs w:val="24"/>
        </w:rPr>
        <w:t xml:space="preserve">’ (p1). </w:t>
      </w:r>
    </w:p>
    <w:p w:rsidR="00111DDB" w:rsidRPr="0096526D" w:rsidRDefault="00C00956" w:rsidP="0096526D">
      <w:pPr>
        <w:rPr>
          <w:sz w:val="24"/>
          <w:szCs w:val="24"/>
        </w:rPr>
      </w:pPr>
      <w:r w:rsidRPr="0096526D">
        <w:rPr>
          <w:sz w:val="24"/>
          <w:szCs w:val="24"/>
        </w:rPr>
        <w:t xml:space="preserve">The suggestion  that </w:t>
      </w:r>
      <w:r w:rsidR="00111DDB" w:rsidRPr="0096526D">
        <w:rPr>
          <w:sz w:val="24"/>
          <w:szCs w:val="24"/>
        </w:rPr>
        <w:t xml:space="preserve"> children’s home language should be valued and not considered as linguistically inferior and that the teacher should not insensitively ‘correct’ the child’s home language, but rather provide opportunities for the use of different registers in different contexts and for </w:t>
      </w:r>
      <w:r w:rsidR="000C0EB1" w:rsidRPr="0096526D">
        <w:rPr>
          <w:sz w:val="24"/>
          <w:szCs w:val="24"/>
        </w:rPr>
        <w:t xml:space="preserve"> different </w:t>
      </w:r>
      <w:r w:rsidR="00111DDB" w:rsidRPr="0096526D">
        <w:rPr>
          <w:sz w:val="24"/>
          <w:szCs w:val="24"/>
        </w:rPr>
        <w:t>audiences</w:t>
      </w:r>
      <w:r w:rsidR="0088078E">
        <w:rPr>
          <w:sz w:val="24"/>
          <w:szCs w:val="24"/>
        </w:rPr>
        <w:t>,</w:t>
      </w:r>
      <w:r w:rsidR="00111DDB" w:rsidRPr="0096526D">
        <w:rPr>
          <w:sz w:val="24"/>
          <w:szCs w:val="24"/>
        </w:rPr>
        <w:t xml:space="preserve"> was a strong challenge to the traditional view of  spoken language. </w:t>
      </w:r>
    </w:p>
    <w:p w:rsidR="00111DDB" w:rsidRPr="0096526D" w:rsidRDefault="00111DDB" w:rsidP="00111DDB">
      <w:pPr>
        <w:rPr>
          <w:sz w:val="24"/>
          <w:szCs w:val="24"/>
        </w:rPr>
      </w:pPr>
      <w:r w:rsidRPr="0096526D">
        <w:rPr>
          <w:sz w:val="24"/>
          <w:szCs w:val="24"/>
        </w:rPr>
        <w:t xml:space="preserve"> This concept of the appropriateness of language, as opposed to  the ‘correct’ use of language  and the </w:t>
      </w:r>
      <w:r w:rsidR="00A26F89" w:rsidRPr="0096526D">
        <w:rPr>
          <w:sz w:val="24"/>
          <w:szCs w:val="24"/>
        </w:rPr>
        <w:t xml:space="preserve">alleged </w:t>
      </w:r>
      <w:r w:rsidRPr="0096526D">
        <w:rPr>
          <w:sz w:val="24"/>
          <w:szCs w:val="24"/>
        </w:rPr>
        <w:t>superiority of standard English ,continues to be a source of controversy in the discussion of spoken English today (D</w:t>
      </w:r>
      <w:r w:rsidR="00EC695D">
        <w:rPr>
          <w:sz w:val="24"/>
          <w:szCs w:val="24"/>
        </w:rPr>
        <w:t>avies, 2000</w:t>
      </w:r>
      <w:r w:rsidRPr="0096526D">
        <w:rPr>
          <w:sz w:val="24"/>
          <w:szCs w:val="24"/>
        </w:rPr>
        <w:t>).</w:t>
      </w:r>
      <w:r w:rsidRPr="0096526D">
        <w:rPr>
          <w:rFonts w:asciiTheme="minorHAnsi" w:hAnsiTheme="minorHAnsi"/>
          <w:sz w:val="24"/>
          <w:szCs w:val="24"/>
        </w:rPr>
        <w:t xml:space="preserve"> According to Scott (2007), one of the few changes that was made by Margaret Thatcher to the draft of the English curriculum in 1989 was to delete the words ‘where appropriate’ at the end of the sentence that stated that children should be taught</w:t>
      </w:r>
      <w:r w:rsidRPr="0096526D">
        <w:rPr>
          <w:sz w:val="24"/>
          <w:szCs w:val="24"/>
        </w:rPr>
        <w:t xml:space="preserve"> </w:t>
      </w:r>
      <w:r w:rsidRPr="0096526D">
        <w:rPr>
          <w:rFonts w:asciiTheme="minorHAnsi" w:hAnsiTheme="minorHAnsi"/>
          <w:sz w:val="24"/>
          <w:szCs w:val="24"/>
        </w:rPr>
        <w:t>to use Standard English.</w:t>
      </w:r>
      <w:r w:rsidRPr="0096526D">
        <w:rPr>
          <w:sz w:val="24"/>
          <w:szCs w:val="24"/>
        </w:rPr>
        <w:t xml:space="preserve"> Nor is this view just an old fashioned one. Alexander points out (2004) that even very recently National Strategy English Advisers to a ‘centralising and controlling government’ have attempted to reduce his notion of dialogue to ‘using formal language and spoken standard English’ (p 54). </w:t>
      </w:r>
    </w:p>
    <w:p w:rsidR="00111DDB" w:rsidRPr="0096526D" w:rsidRDefault="00111DDB" w:rsidP="00111DDB">
      <w:pPr>
        <w:rPr>
          <w:sz w:val="24"/>
          <w:szCs w:val="24"/>
          <w:lang w:eastAsia="en-US"/>
        </w:rPr>
      </w:pPr>
      <w:r w:rsidRPr="0096526D">
        <w:rPr>
          <w:sz w:val="24"/>
          <w:szCs w:val="24"/>
          <w:lang w:eastAsia="en-US"/>
        </w:rPr>
        <w:t>Thus the issue of the definition of talk and oracy</w:t>
      </w:r>
      <w:r w:rsidR="002D222E" w:rsidRPr="0096526D">
        <w:rPr>
          <w:sz w:val="24"/>
          <w:szCs w:val="24"/>
          <w:lang w:eastAsia="en-US"/>
        </w:rPr>
        <w:t xml:space="preserve"> and</w:t>
      </w:r>
      <w:r w:rsidRPr="0096526D">
        <w:rPr>
          <w:sz w:val="24"/>
          <w:szCs w:val="24"/>
          <w:lang w:eastAsia="en-US"/>
        </w:rPr>
        <w:t xml:space="preserve"> the dual nature of talk in the English classroom are still at the</w:t>
      </w:r>
      <w:r w:rsidRPr="0096526D">
        <w:rPr>
          <w:rFonts w:asciiTheme="minorHAnsi" w:hAnsiTheme="minorHAnsi"/>
          <w:sz w:val="24"/>
          <w:szCs w:val="24"/>
        </w:rPr>
        <w:t xml:space="preserve"> heart of the discussion of how we can promote oracy in schools.</w:t>
      </w:r>
      <w:r w:rsidRPr="0096526D">
        <w:rPr>
          <w:sz w:val="24"/>
          <w:szCs w:val="24"/>
          <w:lang w:eastAsia="en-US"/>
        </w:rPr>
        <w:t xml:space="preserve">  </w:t>
      </w:r>
    </w:p>
    <w:p w:rsidR="00111DDB" w:rsidRPr="0096526D" w:rsidRDefault="00111DDB" w:rsidP="00111DDB">
      <w:pPr>
        <w:spacing w:line="276" w:lineRule="auto"/>
        <w:ind w:left="720"/>
        <w:rPr>
          <w:rFonts w:asciiTheme="minorHAnsi" w:hAnsiTheme="minorHAnsi"/>
          <w:sz w:val="24"/>
          <w:szCs w:val="24"/>
        </w:rPr>
      </w:pPr>
      <w:r w:rsidRPr="0096526D">
        <w:rPr>
          <w:sz w:val="24"/>
          <w:szCs w:val="24"/>
          <w:lang w:eastAsia="en-US"/>
        </w:rPr>
        <w:lastRenderedPageBreak/>
        <w:t>For as at the ‘</w:t>
      </w:r>
      <w:r w:rsidRPr="0096526D">
        <w:rPr>
          <w:rFonts w:asciiTheme="minorHAnsi" w:hAnsiTheme="minorHAnsi"/>
          <w:sz w:val="24"/>
          <w:szCs w:val="24"/>
        </w:rPr>
        <w:t>same time as they are learning to talk more effectively pupils should be talking to learn more effectively.’(Doncaster LEA, Undated: 1).</w:t>
      </w:r>
    </w:p>
    <w:p w:rsidR="00111DDB" w:rsidRPr="0096526D" w:rsidRDefault="00111DDB" w:rsidP="00111DDB">
      <w:pPr>
        <w:rPr>
          <w:sz w:val="24"/>
          <w:szCs w:val="24"/>
          <w:lang w:eastAsia="en-US"/>
        </w:rPr>
      </w:pPr>
      <w:r w:rsidRPr="0096526D">
        <w:rPr>
          <w:rFonts w:asciiTheme="minorHAnsi" w:hAnsiTheme="minorHAnsi"/>
          <w:sz w:val="24"/>
          <w:szCs w:val="24"/>
        </w:rPr>
        <w:t xml:space="preserve">And writers and teachers who have argued the case for talk, while recognising the need to plan for a wide repertoire of talk based activities, are not at ease with the heavy emphasis placed by some on improving spoken English, or improving speaking and listening, by focusing primarily on the more presentational types of talk that require the use of formal language and Standard English. Many teachers and writers suggest that Standard English is one form of dialect that pupils should be familiar with but that it is not intrinsically superior to other forms of dialect. Pupils should have opportunities to use standard English where it is the appropriate spoken register when in role as a lawyer, TV presenter for example but it does not have to be imposed in more informal discussions. </w:t>
      </w:r>
    </w:p>
    <w:p w:rsidR="00111DDB" w:rsidRPr="0096526D" w:rsidRDefault="00111DDB" w:rsidP="00111DDB">
      <w:pPr>
        <w:rPr>
          <w:rFonts w:cs="Arial"/>
          <w:sz w:val="24"/>
          <w:szCs w:val="24"/>
        </w:rPr>
      </w:pPr>
      <w:r w:rsidRPr="0096526D">
        <w:rPr>
          <w:rFonts w:cs="Arial"/>
          <w:sz w:val="24"/>
          <w:szCs w:val="24"/>
        </w:rPr>
        <w:t xml:space="preserve">The point that the London English teachers in LATE </w:t>
      </w:r>
      <w:r w:rsidR="0088078E" w:rsidRPr="0096526D">
        <w:rPr>
          <w:rFonts w:cs="Arial"/>
          <w:sz w:val="24"/>
          <w:szCs w:val="24"/>
        </w:rPr>
        <w:t xml:space="preserve">the </w:t>
      </w:r>
      <w:r w:rsidR="00F00E8C">
        <w:rPr>
          <w:rFonts w:cs="Arial"/>
          <w:sz w:val="24"/>
          <w:szCs w:val="24"/>
        </w:rPr>
        <w:t>60s and</w:t>
      </w:r>
      <w:r w:rsidR="0088078E">
        <w:rPr>
          <w:rFonts w:cs="Arial"/>
          <w:sz w:val="24"/>
          <w:szCs w:val="24"/>
        </w:rPr>
        <w:t xml:space="preserve"> the 70s </w:t>
      </w:r>
      <w:r w:rsidRPr="0096526D">
        <w:rPr>
          <w:rFonts w:cs="Arial"/>
          <w:sz w:val="24"/>
          <w:szCs w:val="24"/>
        </w:rPr>
        <w:t xml:space="preserve">were making about language </w:t>
      </w:r>
      <w:r w:rsidR="00F00E8C" w:rsidRPr="0096526D">
        <w:rPr>
          <w:rFonts w:cs="Arial"/>
          <w:sz w:val="24"/>
          <w:szCs w:val="24"/>
        </w:rPr>
        <w:t xml:space="preserve">in </w:t>
      </w:r>
      <w:r w:rsidR="00F00E8C">
        <w:rPr>
          <w:rFonts w:cs="Arial"/>
          <w:sz w:val="24"/>
          <w:szCs w:val="24"/>
        </w:rPr>
        <w:t>classroom</w:t>
      </w:r>
      <w:r w:rsidRPr="0096526D">
        <w:rPr>
          <w:rFonts w:cs="Arial"/>
          <w:sz w:val="24"/>
          <w:szCs w:val="24"/>
        </w:rPr>
        <w:t xml:space="preserve"> was that schooling needed to change to value, nurture and develop the language skills that all children brought to school. They were excited by the new language in the classroom and used tape recorders to transcribe and analyse children’s speech. They also highlighted the important role the more learned adult or teacher had in valuing, guiding and prompting all children’s language development.</w:t>
      </w:r>
    </w:p>
    <w:p w:rsidR="00111DDB" w:rsidRPr="0096526D" w:rsidRDefault="00111DDB" w:rsidP="00111DDB">
      <w:pPr>
        <w:rPr>
          <w:rFonts w:cs="Arial"/>
          <w:sz w:val="24"/>
          <w:szCs w:val="24"/>
        </w:rPr>
      </w:pPr>
      <w:r w:rsidRPr="0096526D">
        <w:rPr>
          <w:rFonts w:cs="Arial"/>
          <w:sz w:val="24"/>
          <w:szCs w:val="24"/>
        </w:rPr>
        <w:t>It is interesting to consider the views of those who were critical of the new ‘child centred approach’ to Eng</w:t>
      </w:r>
      <w:r w:rsidR="0088078E">
        <w:rPr>
          <w:rFonts w:cs="Arial"/>
          <w:sz w:val="24"/>
          <w:szCs w:val="24"/>
        </w:rPr>
        <w:t xml:space="preserve">lish teaching in the 60s and </w:t>
      </w:r>
      <w:r w:rsidR="00F00E8C">
        <w:rPr>
          <w:rFonts w:cs="Arial"/>
          <w:sz w:val="24"/>
          <w:szCs w:val="24"/>
        </w:rPr>
        <w:t xml:space="preserve">70s. </w:t>
      </w:r>
      <w:r w:rsidRPr="0096526D">
        <w:rPr>
          <w:rFonts w:cs="Arial"/>
          <w:sz w:val="24"/>
          <w:szCs w:val="24"/>
        </w:rPr>
        <w:t>A group of Conservative thinkers wrote a series of pamphlets in</w:t>
      </w:r>
      <w:r w:rsidR="0088078E">
        <w:rPr>
          <w:rFonts w:cs="Arial"/>
          <w:sz w:val="24"/>
          <w:szCs w:val="24"/>
        </w:rPr>
        <w:t xml:space="preserve"> the 8</w:t>
      </w:r>
      <w:r w:rsidRPr="0096526D">
        <w:rPr>
          <w:rFonts w:cs="Arial"/>
          <w:sz w:val="24"/>
          <w:szCs w:val="24"/>
        </w:rPr>
        <w:t>0s, the Black papers, that hit back hard against the key elements of what</w:t>
      </w:r>
      <w:r w:rsidR="00EC695D">
        <w:rPr>
          <w:rFonts w:cs="Arial"/>
          <w:sz w:val="24"/>
          <w:szCs w:val="24"/>
        </w:rPr>
        <w:t xml:space="preserve"> for example John Marenbon (</w:t>
      </w:r>
      <w:r w:rsidRPr="0096526D">
        <w:rPr>
          <w:rFonts w:cs="Arial"/>
          <w:sz w:val="24"/>
          <w:szCs w:val="24"/>
        </w:rPr>
        <w:t xml:space="preserve">1994) dubbed ‘the new orthodoxy’. The ideas within these papers constituted a full, frontal attack on the ideas of progressive education and child centred English teachers who, they suggested, were too concerned with ideas of personal growth. Instead this group of conservative thinkers argued that English was about teaching a body of knowledge, which involved re-establishing the pre-eminence of the English Literary Heritage and the explicit teaching of grammar and Standard English. </w:t>
      </w:r>
    </w:p>
    <w:p w:rsidR="00111DDB" w:rsidRPr="0096526D" w:rsidRDefault="00111DDB" w:rsidP="0096526D">
      <w:pPr>
        <w:rPr>
          <w:sz w:val="24"/>
          <w:szCs w:val="24"/>
        </w:rPr>
      </w:pPr>
      <w:r w:rsidRPr="0096526D">
        <w:rPr>
          <w:sz w:val="24"/>
          <w:szCs w:val="24"/>
        </w:rPr>
        <w:t xml:space="preserve">They also began to establish the importance of ‘standards’ by arguing that standards would only be maintained in schools if they were clearly and publically defined. Part of this critique </w:t>
      </w:r>
      <w:r w:rsidRPr="0096526D">
        <w:rPr>
          <w:sz w:val="24"/>
          <w:szCs w:val="24"/>
        </w:rPr>
        <w:lastRenderedPageBreak/>
        <w:t>included an attack on classroom talk for Sheila Lawlor suggested that there was ‘no reason to suggest that children learn from talking’ (Lawlor, cited by Jones, 1989:66). John Marenbon agreed stressing that oracy is redundant</w:t>
      </w:r>
      <w:r w:rsidR="006422B5">
        <w:rPr>
          <w:sz w:val="24"/>
          <w:szCs w:val="24"/>
        </w:rPr>
        <w:t xml:space="preserve"> and certainly not as important as literacy</w:t>
      </w:r>
      <w:r w:rsidRPr="0096526D">
        <w:rPr>
          <w:sz w:val="24"/>
          <w:szCs w:val="24"/>
        </w:rPr>
        <w:t xml:space="preserve"> since ‘children learn to speak and listen by being present at these activities’ (Marenbon, cited by Jones 1989: 67</w:t>
      </w:r>
      <w:r w:rsidR="00E006EE">
        <w:rPr>
          <w:sz w:val="24"/>
          <w:szCs w:val="24"/>
        </w:rPr>
        <w:t>, Marenbon, 1994</w:t>
      </w:r>
      <w:r w:rsidRPr="0096526D">
        <w:rPr>
          <w:sz w:val="24"/>
          <w:szCs w:val="24"/>
        </w:rPr>
        <w:t>).Here, for the first time the case for talk was being directly challenged.</w:t>
      </w:r>
    </w:p>
    <w:p w:rsidR="00A26F89" w:rsidRPr="0096526D" w:rsidRDefault="00111DDB" w:rsidP="0096526D">
      <w:pPr>
        <w:rPr>
          <w:sz w:val="24"/>
          <w:szCs w:val="24"/>
        </w:rPr>
      </w:pPr>
      <w:r w:rsidRPr="0096526D">
        <w:rPr>
          <w:sz w:val="24"/>
          <w:szCs w:val="24"/>
        </w:rPr>
        <w:t xml:space="preserve">These philosophical viewpoints were considered extreme at the time but some of these ideas, particularly the idea of accountability and publically defined ‘standards’ have influenced government policy over recent decades and are now becoming more influential in the new policy of the Coalition government. The new Education Minister, Michael Gove, (2009) believes that educational policy has been in thrall to progressives and who believe that ‘children should be left to discover at their own pace to follow their own hearts.’(Gove sited by White, 2010:304) White (Ibid) argues that Gove has a rigid rather than a rigorous approach and that he is opposed to interdisciplinary collaboration and to areas that he conceives of as ‘soft’ knowledge, such as Media Studies. </w:t>
      </w:r>
    </w:p>
    <w:p w:rsidR="000C0EB1" w:rsidRPr="0096526D" w:rsidRDefault="000C0EB1" w:rsidP="0096526D">
      <w:pPr>
        <w:rPr>
          <w:sz w:val="24"/>
          <w:szCs w:val="24"/>
        </w:rPr>
      </w:pPr>
      <w:r w:rsidRPr="0096526D">
        <w:rPr>
          <w:sz w:val="24"/>
          <w:szCs w:val="24"/>
        </w:rPr>
        <w:t>Gove</w:t>
      </w:r>
      <w:r w:rsidR="00A26F89" w:rsidRPr="0096526D">
        <w:rPr>
          <w:sz w:val="24"/>
          <w:szCs w:val="24"/>
        </w:rPr>
        <w:t xml:space="preserve"> also</w:t>
      </w:r>
      <w:r w:rsidRPr="0096526D">
        <w:rPr>
          <w:sz w:val="24"/>
          <w:szCs w:val="24"/>
        </w:rPr>
        <w:t xml:space="preserve"> believes that:</w:t>
      </w:r>
    </w:p>
    <w:p w:rsidR="000C0EB1" w:rsidRPr="0096526D" w:rsidRDefault="000C0EB1" w:rsidP="0096526D">
      <w:pPr>
        <w:rPr>
          <w:sz w:val="24"/>
          <w:szCs w:val="24"/>
        </w:rPr>
      </w:pPr>
      <w:r w:rsidRPr="0096526D">
        <w:rPr>
          <w:sz w:val="24"/>
          <w:szCs w:val="24"/>
        </w:rPr>
        <w:t>‘Our literature is the best in the world... It is every child’s birth right and we should be proud to teach it in every school’ (2010: 41).</w:t>
      </w:r>
    </w:p>
    <w:p w:rsidR="00111DDB" w:rsidRPr="0096526D" w:rsidRDefault="000C0EB1" w:rsidP="0096526D">
      <w:pPr>
        <w:rPr>
          <w:rFonts w:eastAsia="+mn-ea" w:cs="+mn-cs"/>
          <w:color w:val="000000"/>
          <w:kern w:val="24"/>
          <w:sz w:val="24"/>
          <w:szCs w:val="24"/>
        </w:rPr>
      </w:pPr>
      <w:r w:rsidRPr="0096526D">
        <w:rPr>
          <w:sz w:val="24"/>
          <w:szCs w:val="24"/>
        </w:rPr>
        <w:t>The New Standards for QT</w:t>
      </w:r>
      <w:r w:rsidR="00EC695D">
        <w:rPr>
          <w:sz w:val="24"/>
          <w:szCs w:val="24"/>
        </w:rPr>
        <w:t xml:space="preserve">S for example (DfE, 2012) have </w:t>
      </w:r>
      <w:r w:rsidRPr="0096526D">
        <w:rPr>
          <w:sz w:val="24"/>
          <w:szCs w:val="24"/>
        </w:rPr>
        <w:t xml:space="preserve">one clear statement on spoken English and this is the necessity for </w:t>
      </w:r>
      <w:r w:rsidRPr="0096526D">
        <w:rPr>
          <w:rFonts w:eastAsia="+mn-ea" w:cs="+mn-cs"/>
          <w:color w:val="000000"/>
          <w:kern w:val="24"/>
          <w:sz w:val="24"/>
          <w:szCs w:val="24"/>
        </w:rPr>
        <w:t xml:space="preserve">all </w:t>
      </w:r>
      <w:r w:rsidR="00EC695D">
        <w:rPr>
          <w:rFonts w:eastAsia="+mn-ea" w:cs="+mn-cs"/>
          <w:color w:val="000000"/>
          <w:kern w:val="24"/>
          <w:sz w:val="24"/>
          <w:szCs w:val="24"/>
        </w:rPr>
        <w:t xml:space="preserve">teachers </w:t>
      </w:r>
      <w:r w:rsidRPr="0096526D">
        <w:rPr>
          <w:rFonts w:eastAsia="+mn-ea" w:cs="+mn-cs"/>
          <w:color w:val="000000"/>
          <w:kern w:val="24"/>
          <w:sz w:val="24"/>
          <w:szCs w:val="24"/>
        </w:rPr>
        <w:t>to ‘take responsibility for promoting ..the correct use of standard English whatever the teacher’s specialist subject’</w:t>
      </w:r>
      <w:r w:rsidR="0029765A">
        <w:rPr>
          <w:rFonts w:eastAsia="+mn-ea" w:cs="+mn-cs"/>
          <w:color w:val="000000"/>
          <w:kern w:val="24"/>
          <w:sz w:val="24"/>
          <w:szCs w:val="24"/>
        </w:rPr>
        <w:t>. This is the government’s response to language across the curriculum</w:t>
      </w:r>
      <w:r w:rsidR="00EC695D">
        <w:rPr>
          <w:rFonts w:eastAsia="+mn-ea" w:cs="+mn-cs"/>
          <w:color w:val="000000"/>
          <w:kern w:val="24"/>
          <w:sz w:val="24"/>
          <w:szCs w:val="24"/>
        </w:rPr>
        <w:t>, all teachers must promote the ‘correct’</w:t>
      </w:r>
      <w:r w:rsidR="005D5659">
        <w:rPr>
          <w:rFonts w:eastAsia="+mn-ea" w:cs="+mn-cs"/>
          <w:color w:val="000000"/>
          <w:kern w:val="24"/>
          <w:sz w:val="24"/>
          <w:szCs w:val="24"/>
        </w:rPr>
        <w:t xml:space="preserve"> use of standard </w:t>
      </w:r>
      <w:r w:rsidR="00EC695D">
        <w:rPr>
          <w:rFonts w:eastAsia="+mn-ea" w:cs="+mn-cs"/>
          <w:color w:val="000000"/>
          <w:kern w:val="24"/>
          <w:sz w:val="24"/>
          <w:szCs w:val="24"/>
        </w:rPr>
        <w:t>English</w:t>
      </w:r>
      <w:r w:rsidR="005D5659">
        <w:rPr>
          <w:rFonts w:eastAsia="+mn-ea" w:cs="+mn-cs"/>
          <w:color w:val="000000"/>
          <w:kern w:val="24"/>
          <w:sz w:val="24"/>
          <w:szCs w:val="24"/>
        </w:rPr>
        <w:t xml:space="preserve">! </w:t>
      </w:r>
      <w:r w:rsidR="0029765A">
        <w:rPr>
          <w:rFonts w:eastAsia="+mn-ea" w:cs="+mn-cs"/>
          <w:color w:val="000000"/>
          <w:kern w:val="24"/>
          <w:sz w:val="24"/>
          <w:szCs w:val="24"/>
        </w:rPr>
        <w:t>The new programmes of study for English have no separate strand for oracy and the main focus is on reading, writing and spelling and grammar. But the value of formal spoken English  is reinforced and ‘there will be an expectation that pupils master formal English through recitation,</w:t>
      </w:r>
      <w:r w:rsidR="00E006EE">
        <w:rPr>
          <w:rFonts w:eastAsia="+mn-ea" w:cs="+mn-cs"/>
          <w:color w:val="000000"/>
          <w:kern w:val="24"/>
          <w:sz w:val="24"/>
          <w:szCs w:val="24"/>
        </w:rPr>
        <w:t xml:space="preserve"> debate and presentation’ (Gove</w:t>
      </w:r>
      <w:r w:rsidR="0029765A">
        <w:rPr>
          <w:rFonts w:eastAsia="+mn-ea" w:cs="+mn-cs"/>
          <w:color w:val="000000"/>
          <w:kern w:val="24"/>
          <w:sz w:val="24"/>
          <w:szCs w:val="24"/>
        </w:rPr>
        <w:t>, 2012). The elocution model is therefore reinforced</w:t>
      </w:r>
      <w:r w:rsidR="00EC695D">
        <w:rPr>
          <w:rFonts w:eastAsia="+mn-ea" w:cs="+mn-cs"/>
          <w:color w:val="000000"/>
          <w:kern w:val="24"/>
          <w:sz w:val="24"/>
          <w:szCs w:val="24"/>
        </w:rPr>
        <w:t xml:space="preserve"> </w:t>
      </w:r>
      <w:r w:rsidR="0029765A">
        <w:rPr>
          <w:rFonts w:eastAsia="+mn-ea" w:cs="+mn-cs"/>
          <w:color w:val="000000"/>
          <w:kern w:val="24"/>
          <w:sz w:val="24"/>
          <w:szCs w:val="24"/>
        </w:rPr>
        <w:t>and the talk for learning model set aside.</w:t>
      </w:r>
      <w:r w:rsidR="00EC695D">
        <w:rPr>
          <w:rFonts w:eastAsia="+mn-ea" w:cs="+mn-cs"/>
          <w:color w:val="000000"/>
          <w:kern w:val="24"/>
          <w:sz w:val="24"/>
          <w:szCs w:val="24"/>
        </w:rPr>
        <w:t xml:space="preserve"> Standard English and presentational talk </w:t>
      </w:r>
      <w:r w:rsidR="00EC695D">
        <w:rPr>
          <w:rFonts w:eastAsia="+mn-ea" w:cs="+mn-cs"/>
          <w:color w:val="000000"/>
          <w:kern w:val="24"/>
          <w:sz w:val="24"/>
          <w:szCs w:val="24"/>
        </w:rPr>
        <w:lastRenderedPageBreak/>
        <w:t xml:space="preserve">have a high value and exploratory talk has a much lower value. </w:t>
      </w:r>
      <w:r w:rsidR="006422B5">
        <w:rPr>
          <w:rFonts w:eastAsia="+mn-ea" w:cs="+mn-cs"/>
          <w:color w:val="000000"/>
          <w:kern w:val="24"/>
          <w:sz w:val="24"/>
          <w:szCs w:val="24"/>
        </w:rPr>
        <w:t>This curriculum makes the Cox English curriculum drawn up in 1989 look very progressive.</w:t>
      </w:r>
    </w:p>
    <w:p w:rsidR="000C0EB1" w:rsidRPr="0096526D" w:rsidRDefault="00EC695D" w:rsidP="000C0EB1">
      <w:pPr>
        <w:rPr>
          <w:rFonts w:asciiTheme="minorHAnsi" w:hAnsiTheme="minorHAnsi" w:cstheme="minorHAnsi"/>
          <w:sz w:val="24"/>
          <w:szCs w:val="24"/>
        </w:rPr>
      </w:pPr>
      <w:r>
        <w:rPr>
          <w:rFonts w:asciiTheme="minorHAnsi" w:hAnsiTheme="minorHAnsi" w:cstheme="minorHAnsi"/>
          <w:sz w:val="24"/>
          <w:szCs w:val="24"/>
        </w:rPr>
        <w:t>Although there are some nuances, t</w:t>
      </w:r>
      <w:r w:rsidR="00111DDB" w:rsidRPr="0096526D">
        <w:rPr>
          <w:rFonts w:asciiTheme="minorHAnsi" w:hAnsiTheme="minorHAnsi" w:cstheme="minorHAnsi"/>
          <w:sz w:val="24"/>
          <w:szCs w:val="24"/>
        </w:rPr>
        <w:t>he links to the authors of the Black Papers, who were strong defenders o</w:t>
      </w:r>
      <w:r w:rsidR="000C0EB1" w:rsidRPr="0096526D">
        <w:rPr>
          <w:rFonts w:asciiTheme="minorHAnsi" w:hAnsiTheme="minorHAnsi" w:cstheme="minorHAnsi"/>
          <w:sz w:val="24"/>
          <w:szCs w:val="24"/>
        </w:rPr>
        <w:t xml:space="preserve">f the English Literary </w:t>
      </w:r>
      <w:r w:rsidR="00A26F89" w:rsidRPr="0096526D">
        <w:rPr>
          <w:rFonts w:asciiTheme="minorHAnsi" w:hAnsiTheme="minorHAnsi" w:cstheme="minorHAnsi"/>
          <w:sz w:val="24"/>
          <w:szCs w:val="24"/>
        </w:rPr>
        <w:t>heritage and</w:t>
      </w:r>
      <w:r w:rsidR="000C0EB1" w:rsidRPr="0096526D">
        <w:rPr>
          <w:rFonts w:asciiTheme="minorHAnsi" w:hAnsiTheme="minorHAnsi" w:cstheme="minorHAnsi"/>
          <w:sz w:val="24"/>
          <w:szCs w:val="24"/>
        </w:rPr>
        <w:t xml:space="preserve"> standard English as a superior dialect</w:t>
      </w:r>
      <w:r w:rsidR="00111DDB" w:rsidRPr="0096526D">
        <w:rPr>
          <w:rFonts w:asciiTheme="minorHAnsi" w:hAnsiTheme="minorHAnsi" w:cstheme="minorHAnsi"/>
          <w:sz w:val="24"/>
          <w:szCs w:val="24"/>
        </w:rPr>
        <w:t xml:space="preserve"> are therefore clear and Jones (1989) and Ball (1994) have defined this approach as cultural restorationist. </w:t>
      </w:r>
    </w:p>
    <w:p w:rsidR="00111DDB" w:rsidRPr="0096526D" w:rsidRDefault="00111DDB" w:rsidP="00111DDB">
      <w:pPr>
        <w:rPr>
          <w:rFonts w:cs="Arial"/>
          <w:sz w:val="24"/>
          <w:szCs w:val="24"/>
        </w:rPr>
      </w:pPr>
      <w:r w:rsidRPr="0096526D">
        <w:rPr>
          <w:rFonts w:cs="Arial"/>
          <w:sz w:val="24"/>
          <w:szCs w:val="24"/>
        </w:rPr>
        <w:t>Ken Jones (1989) argued that it was only towards the end of the conservative administration</w:t>
      </w:r>
      <w:r w:rsidR="00D57D8D" w:rsidRPr="0096526D">
        <w:rPr>
          <w:rFonts w:cs="Arial"/>
          <w:sz w:val="24"/>
          <w:szCs w:val="24"/>
        </w:rPr>
        <w:t>s</w:t>
      </w:r>
      <w:r w:rsidR="002D222E" w:rsidRPr="0096526D">
        <w:rPr>
          <w:rFonts w:cs="Arial"/>
          <w:sz w:val="24"/>
          <w:szCs w:val="24"/>
        </w:rPr>
        <w:t xml:space="preserve"> </w:t>
      </w:r>
      <w:r w:rsidR="00D57D8D" w:rsidRPr="0096526D">
        <w:rPr>
          <w:rFonts w:cs="Arial"/>
          <w:sz w:val="24"/>
          <w:szCs w:val="24"/>
        </w:rPr>
        <w:t>(</w:t>
      </w:r>
      <w:r w:rsidR="002D222E" w:rsidRPr="0096526D">
        <w:rPr>
          <w:rFonts w:cs="Arial"/>
          <w:sz w:val="24"/>
          <w:szCs w:val="24"/>
        </w:rPr>
        <w:t>of 1979-1997</w:t>
      </w:r>
      <w:r w:rsidR="00D57D8D" w:rsidRPr="0096526D">
        <w:rPr>
          <w:rFonts w:cs="Arial"/>
          <w:sz w:val="24"/>
          <w:szCs w:val="24"/>
        </w:rPr>
        <w:t>)</w:t>
      </w:r>
      <w:r w:rsidR="00EC695D">
        <w:rPr>
          <w:rFonts w:cs="Arial"/>
          <w:sz w:val="24"/>
          <w:szCs w:val="24"/>
        </w:rPr>
        <w:t xml:space="preserve"> </w:t>
      </w:r>
      <w:r w:rsidR="006422B5">
        <w:rPr>
          <w:rFonts w:cs="Arial"/>
          <w:sz w:val="24"/>
          <w:szCs w:val="24"/>
        </w:rPr>
        <w:t>that aspects of the</w:t>
      </w:r>
      <w:r w:rsidRPr="0096526D">
        <w:rPr>
          <w:rFonts w:cs="Arial"/>
          <w:sz w:val="24"/>
          <w:szCs w:val="24"/>
        </w:rPr>
        <w:t xml:space="preserve"> critique of comprehensive ideals found their way into any tangible government policy</w:t>
      </w:r>
      <w:r w:rsidR="002D222E" w:rsidRPr="0096526D">
        <w:rPr>
          <w:rFonts w:cs="Arial"/>
          <w:sz w:val="24"/>
          <w:szCs w:val="24"/>
        </w:rPr>
        <w:t>,</w:t>
      </w:r>
      <w:r w:rsidRPr="0096526D">
        <w:rPr>
          <w:rFonts w:cs="Arial"/>
          <w:sz w:val="24"/>
          <w:szCs w:val="24"/>
        </w:rPr>
        <w:t xml:space="preserve"> for example the promotion of City Technology Colleges, the pre curser of Academies.  The Conservative party took, he suggests, took quite a long time to develop an education policy  that distinguished itself from previous labour governments.</w:t>
      </w:r>
      <w:r w:rsidRPr="0096526D">
        <w:rPr>
          <w:rFonts w:eastAsia="+mn-ea" w:cs="+mn-cs"/>
          <w:color w:val="000000"/>
          <w:kern w:val="24"/>
          <w:sz w:val="24"/>
          <w:szCs w:val="24"/>
        </w:rPr>
        <w:t xml:space="preserve"> </w:t>
      </w:r>
      <w:r w:rsidRPr="0096526D">
        <w:rPr>
          <w:rFonts w:cs="Arial"/>
          <w:sz w:val="24"/>
          <w:szCs w:val="24"/>
        </w:rPr>
        <w:t>This was partly because of conflicts between ‘modernists’ and ‘cultural restorationists’ among Conservative party members but another reason for this delay was the popularity of the comprehensive ideal. Yet another feature of the move towards more intervention in the school curriculum was Britain’s decline in the world economy and the need to retreat on government spending. As Wyse and Jones</w:t>
      </w:r>
      <w:r w:rsidR="00EC695D">
        <w:rPr>
          <w:rFonts w:cs="Arial"/>
          <w:sz w:val="24"/>
          <w:szCs w:val="24"/>
        </w:rPr>
        <w:t xml:space="preserve"> </w:t>
      </w:r>
      <w:r w:rsidR="00D57D8D" w:rsidRPr="0096526D">
        <w:rPr>
          <w:rFonts w:cs="Arial"/>
          <w:sz w:val="24"/>
          <w:szCs w:val="24"/>
        </w:rPr>
        <w:t>(2000)</w:t>
      </w:r>
      <w:r w:rsidRPr="0096526D">
        <w:rPr>
          <w:rFonts w:cs="Arial"/>
          <w:sz w:val="24"/>
          <w:szCs w:val="24"/>
        </w:rPr>
        <w:t xml:space="preserve"> point out effective child-centred education is teacher intensive and this necessitates expensive small class sizes.  </w:t>
      </w:r>
    </w:p>
    <w:p w:rsidR="00D57D8D" w:rsidRPr="0096526D" w:rsidRDefault="006E4030">
      <w:pPr>
        <w:rPr>
          <w:sz w:val="24"/>
          <w:szCs w:val="24"/>
        </w:rPr>
      </w:pPr>
      <w:hyperlink r:id="rId6" w:history="1">
        <w:r w:rsidR="00D57D8D" w:rsidRPr="0096526D">
          <w:rPr>
            <w:rStyle w:val="Hyperlink"/>
            <w:sz w:val="24"/>
            <w:szCs w:val="24"/>
          </w:rPr>
          <w:t>V.Coultas@kingston.ac.uk</w:t>
        </w:r>
      </w:hyperlink>
    </w:p>
    <w:p w:rsidR="0029765A" w:rsidRPr="00F00E8C" w:rsidRDefault="0029765A" w:rsidP="003849AF">
      <w:pPr>
        <w:rPr>
          <w:sz w:val="24"/>
          <w:szCs w:val="24"/>
        </w:rPr>
      </w:pPr>
      <w:r w:rsidRPr="00F00E8C">
        <w:rPr>
          <w:sz w:val="24"/>
          <w:szCs w:val="24"/>
        </w:rPr>
        <w:t>Ball</w:t>
      </w:r>
      <w:r w:rsidR="00F4751D" w:rsidRPr="00F00E8C">
        <w:rPr>
          <w:sz w:val="24"/>
          <w:szCs w:val="24"/>
        </w:rPr>
        <w:t>, S. J</w:t>
      </w:r>
      <w:r w:rsidR="00E006EE">
        <w:rPr>
          <w:sz w:val="24"/>
          <w:szCs w:val="24"/>
        </w:rPr>
        <w:t>(199</w:t>
      </w:r>
      <w:r w:rsidRPr="00F00E8C">
        <w:rPr>
          <w:sz w:val="24"/>
          <w:szCs w:val="24"/>
        </w:rPr>
        <w:t>4)</w:t>
      </w:r>
      <w:r w:rsidR="00F4751D" w:rsidRPr="00F00E8C">
        <w:rPr>
          <w:sz w:val="24"/>
          <w:szCs w:val="24"/>
        </w:rPr>
        <w:t xml:space="preserve"> </w:t>
      </w:r>
      <w:r w:rsidR="00F4751D" w:rsidRPr="00F00E8C">
        <w:rPr>
          <w:i/>
          <w:sz w:val="24"/>
          <w:szCs w:val="24"/>
        </w:rPr>
        <w:t>Education Reform: A Critical and Post-Structural Approach</w:t>
      </w:r>
      <w:r w:rsidR="00F4751D" w:rsidRPr="00F00E8C">
        <w:rPr>
          <w:sz w:val="24"/>
          <w:szCs w:val="24"/>
        </w:rPr>
        <w:t>, Buckingham: Open University Press</w:t>
      </w:r>
    </w:p>
    <w:p w:rsidR="00F4751D" w:rsidRPr="00F00E8C" w:rsidRDefault="00F4751D" w:rsidP="00F4751D">
      <w:pPr>
        <w:rPr>
          <w:i/>
          <w:sz w:val="24"/>
          <w:szCs w:val="24"/>
        </w:rPr>
      </w:pPr>
      <w:r w:rsidRPr="00F00E8C">
        <w:rPr>
          <w:sz w:val="24"/>
          <w:szCs w:val="24"/>
        </w:rPr>
        <w:t xml:space="preserve"> Davies, C (2000) ‘ “Correct” or “Appropriate”? Is it possible to resolve the debate about which should be promoted in the classroom?’ in Moss, J and Davidson, J (Eds) </w:t>
      </w:r>
      <w:r w:rsidRPr="00F00E8C">
        <w:rPr>
          <w:i/>
          <w:sz w:val="24"/>
          <w:szCs w:val="24"/>
        </w:rPr>
        <w:t xml:space="preserve">Issues in English Teaching </w:t>
      </w:r>
      <w:r w:rsidRPr="00F00E8C">
        <w:rPr>
          <w:sz w:val="24"/>
          <w:szCs w:val="24"/>
        </w:rPr>
        <w:t>London, Routledge pp 105-119</w:t>
      </w:r>
    </w:p>
    <w:p w:rsidR="00EC695D" w:rsidRPr="005D5659" w:rsidRDefault="00EC695D" w:rsidP="003849AF">
      <w:pPr>
        <w:rPr>
          <w:i/>
          <w:sz w:val="24"/>
          <w:szCs w:val="24"/>
        </w:rPr>
      </w:pPr>
      <w:r w:rsidRPr="00F00E8C">
        <w:rPr>
          <w:sz w:val="24"/>
          <w:szCs w:val="24"/>
        </w:rPr>
        <w:t>DFE (2012)</w:t>
      </w:r>
      <w:r w:rsidR="00F00E8C" w:rsidRPr="00F00E8C">
        <w:rPr>
          <w:rFonts w:asciiTheme="minorHAnsi" w:hAnsiTheme="minorHAnsi" w:cstheme="minorHAnsi"/>
          <w:b/>
          <w:sz w:val="24"/>
          <w:szCs w:val="24"/>
        </w:rPr>
        <w:t xml:space="preserve"> </w:t>
      </w:r>
      <w:r w:rsidR="00F00E8C" w:rsidRPr="005D5659">
        <w:rPr>
          <w:rFonts w:asciiTheme="minorHAnsi" w:hAnsiTheme="minorHAnsi" w:cstheme="minorHAnsi"/>
          <w:i/>
          <w:sz w:val="24"/>
          <w:szCs w:val="24"/>
        </w:rPr>
        <w:t xml:space="preserve">Teachers’ Standards </w:t>
      </w:r>
    </w:p>
    <w:p w:rsidR="00F00E8C" w:rsidRPr="00F00E8C" w:rsidRDefault="00F00E8C" w:rsidP="00F00E8C">
      <w:pPr>
        <w:rPr>
          <w:rFonts w:cs="Arial"/>
          <w:sz w:val="24"/>
          <w:szCs w:val="24"/>
        </w:rPr>
      </w:pPr>
      <w:r w:rsidRPr="00F00E8C">
        <w:rPr>
          <w:rFonts w:cs="Arial"/>
          <w:sz w:val="24"/>
          <w:szCs w:val="24"/>
        </w:rPr>
        <w:t xml:space="preserve"> Gove, M (2010) Speech to Conservative Party Conference October 5</w:t>
      </w:r>
      <w:r w:rsidRPr="00F00E8C">
        <w:rPr>
          <w:rFonts w:cs="Arial"/>
          <w:sz w:val="24"/>
          <w:szCs w:val="24"/>
          <w:vertAlign w:val="superscript"/>
        </w:rPr>
        <w:t>th</w:t>
      </w:r>
      <w:r w:rsidRPr="00F00E8C">
        <w:rPr>
          <w:rFonts w:cs="Arial"/>
          <w:sz w:val="24"/>
          <w:szCs w:val="24"/>
        </w:rPr>
        <w:t xml:space="preserve"> 2010 available at </w:t>
      </w:r>
      <w:hyperlink r:id="rId7" w:history="1">
        <w:r w:rsidRPr="00F00E8C">
          <w:rPr>
            <w:rStyle w:val="Hyperlink"/>
            <w:rFonts w:asciiTheme="minorHAnsi" w:hAnsiTheme="minorHAnsi" w:cs="Arial"/>
            <w:sz w:val="24"/>
            <w:szCs w:val="24"/>
          </w:rPr>
          <w:t>http://blog.literaryconnections.co.uk/?p=550</w:t>
        </w:r>
      </w:hyperlink>
      <w:r w:rsidRPr="00F00E8C">
        <w:rPr>
          <w:rFonts w:cs="Arial"/>
          <w:sz w:val="24"/>
          <w:szCs w:val="24"/>
        </w:rPr>
        <w:t xml:space="preserve"> accessed July 22</w:t>
      </w:r>
      <w:r w:rsidRPr="00F00E8C">
        <w:rPr>
          <w:rFonts w:cs="Arial"/>
          <w:sz w:val="24"/>
          <w:szCs w:val="24"/>
          <w:vertAlign w:val="superscript"/>
        </w:rPr>
        <w:t>nd</w:t>
      </w:r>
      <w:r w:rsidRPr="00F00E8C">
        <w:rPr>
          <w:rFonts w:cs="Arial"/>
          <w:sz w:val="24"/>
          <w:szCs w:val="24"/>
        </w:rPr>
        <w:t xml:space="preserve"> 2011</w:t>
      </w:r>
    </w:p>
    <w:p w:rsidR="00F00E8C" w:rsidRPr="00F00E8C" w:rsidRDefault="00F00E8C" w:rsidP="00F00E8C">
      <w:pPr>
        <w:rPr>
          <w:rFonts w:cs="Arial"/>
          <w:sz w:val="24"/>
          <w:szCs w:val="24"/>
        </w:rPr>
      </w:pPr>
      <w:r w:rsidRPr="00F00E8C">
        <w:rPr>
          <w:rFonts w:cs="Arial"/>
          <w:sz w:val="24"/>
          <w:szCs w:val="24"/>
        </w:rPr>
        <w:lastRenderedPageBreak/>
        <w:t xml:space="preserve">Jones, K (1989) </w:t>
      </w:r>
      <w:r w:rsidRPr="00F00E8C">
        <w:rPr>
          <w:rFonts w:cs="Arial"/>
          <w:i/>
          <w:sz w:val="24"/>
          <w:szCs w:val="24"/>
        </w:rPr>
        <w:t>Right Turn The Conservative Revolution in Education</w:t>
      </w:r>
      <w:r w:rsidRPr="00F00E8C">
        <w:rPr>
          <w:rFonts w:cs="Arial"/>
          <w:sz w:val="24"/>
          <w:szCs w:val="24"/>
        </w:rPr>
        <w:t xml:space="preserve"> Hutchinson Radius</w:t>
      </w:r>
    </w:p>
    <w:p w:rsidR="00F00E8C" w:rsidRPr="00F00E8C" w:rsidRDefault="00F00E8C" w:rsidP="00F00E8C">
      <w:pPr>
        <w:rPr>
          <w:rFonts w:cs="Arial"/>
          <w:sz w:val="24"/>
          <w:szCs w:val="24"/>
        </w:rPr>
      </w:pPr>
      <w:r w:rsidRPr="00F00E8C">
        <w:rPr>
          <w:rFonts w:cs="Arial"/>
          <w:sz w:val="24"/>
          <w:szCs w:val="24"/>
        </w:rPr>
        <w:t xml:space="preserve">Marenbon (1994) The new orthodoxy examined in Brindley, S (Ed) </w:t>
      </w:r>
      <w:r w:rsidRPr="00F00E8C">
        <w:rPr>
          <w:rFonts w:cs="Arial"/>
          <w:i/>
          <w:sz w:val="24"/>
          <w:szCs w:val="24"/>
        </w:rPr>
        <w:t>Teaching English</w:t>
      </w:r>
      <w:r w:rsidRPr="00F00E8C">
        <w:rPr>
          <w:rFonts w:cs="Arial"/>
          <w:sz w:val="24"/>
          <w:szCs w:val="24"/>
        </w:rPr>
        <w:t xml:space="preserve"> London: Routledge</w:t>
      </w:r>
    </w:p>
    <w:p w:rsidR="00EC695D" w:rsidRPr="00F00E8C" w:rsidRDefault="00F00E8C" w:rsidP="003849AF">
      <w:pPr>
        <w:rPr>
          <w:rFonts w:eastAsia="+mn-ea" w:cs="+mn-cs"/>
          <w:color w:val="000000"/>
          <w:kern w:val="24"/>
          <w:sz w:val="24"/>
          <w:szCs w:val="24"/>
        </w:rPr>
      </w:pPr>
      <w:r w:rsidRPr="00F00E8C">
        <w:rPr>
          <w:rFonts w:eastAsia="+mn-ea" w:cs="+mn-cs"/>
          <w:color w:val="000000"/>
          <w:kern w:val="24"/>
          <w:sz w:val="24"/>
          <w:szCs w:val="24"/>
        </w:rPr>
        <w:t>(Gove,</w:t>
      </w:r>
      <w:r w:rsidR="0029765A" w:rsidRPr="00F00E8C">
        <w:rPr>
          <w:rFonts w:eastAsia="+mn-ea" w:cs="+mn-cs"/>
          <w:color w:val="000000"/>
          <w:kern w:val="24"/>
          <w:sz w:val="24"/>
          <w:szCs w:val="24"/>
        </w:rPr>
        <w:t xml:space="preserve"> 2012)</w:t>
      </w:r>
      <w:r w:rsidRPr="00F00E8C">
        <w:rPr>
          <w:rFonts w:eastAsia="+mn-ea" w:cs="+mn-cs"/>
          <w:i/>
          <w:color w:val="000000"/>
          <w:kern w:val="24"/>
          <w:sz w:val="24"/>
          <w:szCs w:val="24"/>
        </w:rPr>
        <w:t xml:space="preserve"> Letter to the Chair of the Expert Panel</w:t>
      </w:r>
      <w:r w:rsidRPr="00F00E8C">
        <w:rPr>
          <w:rFonts w:eastAsia="+mn-ea" w:cs="+mn-cs"/>
          <w:color w:val="000000"/>
          <w:kern w:val="24"/>
          <w:sz w:val="24"/>
          <w:szCs w:val="24"/>
        </w:rPr>
        <w:t xml:space="preserve"> June 11</w:t>
      </w:r>
      <w:r w:rsidRPr="00F00E8C">
        <w:rPr>
          <w:rFonts w:eastAsia="+mn-ea" w:cs="+mn-cs"/>
          <w:color w:val="000000"/>
          <w:kern w:val="24"/>
          <w:sz w:val="24"/>
          <w:szCs w:val="24"/>
          <w:vertAlign w:val="superscript"/>
        </w:rPr>
        <w:t>th</w:t>
      </w:r>
      <w:r w:rsidRPr="00F00E8C">
        <w:rPr>
          <w:rFonts w:eastAsia="+mn-ea" w:cs="+mn-cs"/>
          <w:color w:val="000000"/>
          <w:kern w:val="24"/>
          <w:sz w:val="24"/>
          <w:szCs w:val="24"/>
        </w:rPr>
        <w:t xml:space="preserve"> 2012</w:t>
      </w:r>
    </w:p>
    <w:p w:rsidR="00F00E8C" w:rsidRPr="00F00E8C" w:rsidRDefault="00F00E8C" w:rsidP="00F00E8C">
      <w:pPr>
        <w:rPr>
          <w:rFonts w:cs="Arial"/>
          <w:sz w:val="24"/>
          <w:szCs w:val="24"/>
        </w:rPr>
      </w:pPr>
      <w:r w:rsidRPr="00F00E8C">
        <w:rPr>
          <w:sz w:val="24"/>
          <w:szCs w:val="24"/>
        </w:rPr>
        <w:t xml:space="preserve"> Scott, S (2007) Review of Constructive Talk in Challenging Classrooms </w:t>
      </w:r>
      <w:r w:rsidRPr="00F00E8C">
        <w:rPr>
          <w:i/>
          <w:sz w:val="24"/>
          <w:szCs w:val="24"/>
        </w:rPr>
        <w:t>English Drama Media</w:t>
      </w:r>
      <w:r w:rsidRPr="00F00E8C">
        <w:rPr>
          <w:sz w:val="24"/>
          <w:szCs w:val="24"/>
        </w:rPr>
        <w:t xml:space="preserve"> 9 (October) pp71-72</w:t>
      </w:r>
    </w:p>
    <w:p w:rsidR="00F00E8C" w:rsidRPr="00F00E8C" w:rsidRDefault="00F00E8C" w:rsidP="00F00E8C">
      <w:pPr>
        <w:rPr>
          <w:rFonts w:cs="Arial"/>
          <w:sz w:val="24"/>
          <w:szCs w:val="24"/>
        </w:rPr>
      </w:pPr>
      <w:r w:rsidRPr="00F00E8C">
        <w:rPr>
          <w:rFonts w:cs="Arial"/>
          <w:sz w:val="24"/>
          <w:szCs w:val="24"/>
        </w:rPr>
        <w:t xml:space="preserve">White, P (2010) The Coalition and the Curriculum </w:t>
      </w:r>
      <w:r w:rsidRPr="00F00E8C">
        <w:rPr>
          <w:rFonts w:cs="Arial"/>
          <w:i/>
          <w:sz w:val="24"/>
          <w:szCs w:val="24"/>
        </w:rPr>
        <w:t>Forum for promoting 3-19 comprehensive</w:t>
      </w:r>
      <w:r w:rsidRPr="00F00E8C">
        <w:rPr>
          <w:rFonts w:cs="Arial"/>
          <w:sz w:val="24"/>
          <w:szCs w:val="24"/>
        </w:rPr>
        <w:t xml:space="preserve"> </w:t>
      </w:r>
      <w:r w:rsidRPr="00F00E8C">
        <w:rPr>
          <w:rFonts w:cs="Arial"/>
          <w:i/>
          <w:sz w:val="24"/>
          <w:szCs w:val="24"/>
        </w:rPr>
        <w:t xml:space="preserve">education </w:t>
      </w:r>
      <w:r w:rsidRPr="00F00E8C">
        <w:rPr>
          <w:rFonts w:cs="Arial"/>
          <w:sz w:val="24"/>
          <w:szCs w:val="24"/>
        </w:rPr>
        <w:t>52 (3)</w:t>
      </w:r>
    </w:p>
    <w:p w:rsidR="00F00E8C" w:rsidRPr="00F00E8C" w:rsidRDefault="00F00E8C" w:rsidP="00F00E8C">
      <w:pPr>
        <w:rPr>
          <w:rFonts w:cs="Arial"/>
          <w:sz w:val="24"/>
          <w:szCs w:val="24"/>
        </w:rPr>
      </w:pPr>
      <w:r w:rsidRPr="00F00E8C">
        <w:rPr>
          <w:rFonts w:cs="Arial"/>
          <w:sz w:val="24"/>
          <w:szCs w:val="24"/>
        </w:rPr>
        <w:t>Wyse, D and Jones, R (2001)</w:t>
      </w:r>
      <w:r w:rsidRPr="00F00E8C">
        <w:rPr>
          <w:rFonts w:cs="Arial"/>
          <w:i/>
          <w:sz w:val="24"/>
          <w:szCs w:val="24"/>
        </w:rPr>
        <w:t xml:space="preserve"> Teaching English, Language and Literacy </w:t>
      </w:r>
      <w:r w:rsidRPr="00F00E8C">
        <w:rPr>
          <w:rFonts w:cs="Arial"/>
          <w:sz w:val="24"/>
          <w:szCs w:val="24"/>
        </w:rPr>
        <w:t>London: Routledge and Falmer</w:t>
      </w:r>
    </w:p>
    <w:p w:rsidR="00D57D8D" w:rsidRPr="00F00E8C" w:rsidRDefault="00D57D8D" w:rsidP="003849AF">
      <w:pPr>
        <w:rPr>
          <w:sz w:val="24"/>
          <w:szCs w:val="24"/>
        </w:rPr>
      </w:pPr>
    </w:p>
    <w:sectPr w:rsidR="00D57D8D" w:rsidRPr="00F00E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n-ea">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7231E"/>
    <w:multiLevelType w:val="hybridMultilevel"/>
    <w:tmpl w:val="C4A0E256"/>
    <w:lvl w:ilvl="0" w:tplc="A4A03166">
      <w:start w:val="1"/>
      <w:numFmt w:val="bullet"/>
      <w:lvlText w:val="•"/>
      <w:lvlJc w:val="left"/>
      <w:pPr>
        <w:tabs>
          <w:tab w:val="num" w:pos="720"/>
        </w:tabs>
        <w:ind w:left="720" w:hanging="360"/>
      </w:pPr>
      <w:rPr>
        <w:rFonts w:ascii="Arial" w:hAnsi="Arial" w:hint="default"/>
      </w:rPr>
    </w:lvl>
    <w:lvl w:ilvl="1" w:tplc="83C829B6" w:tentative="1">
      <w:start w:val="1"/>
      <w:numFmt w:val="bullet"/>
      <w:lvlText w:val="•"/>
      <w:lvlJc w:val="left"/>
      <w:pPr>
        <w:tabs>
          <w:tab w:val="num" w:pos="1440"/>
        </w:tabs>
        <w:ind w:left="1440" w:hanging="360"/>
      </w:pPr>
      <w:rPr>
        <w:rFonts w:ascii="Arial" w:hAnsi="Arial" w:hint="default"/>
      </w:rPr>
    </w:lvl>
    <w:lvl w:ilvl="2" w:tplc="A6769FFC" w:tentative="1">
      <w:start w:val="1"/>
      <w:numFmt w:val="bullet"/>
      <w:lvlText w:val="•"/>
      <w:lvlJc w:val="left"/>
      <w:pPr>
        <w:tabs>
          <w:tab w:val="num" w:pos="2160"/>
        </w:tabs>
        <w:ind w:left="2160" w:hanging="360"/>
      </w:pPr>
      <w:rPr>
        <w:rFonts w:ascii="Arial" w:hAnsi="Arial" w:hint="default"/>
      </w:rPr>
    </w:lvl>
    <w:lvl w:ilvl="3" w:tplc="0C5A4ABA" w:tentative="1">
      <w:start w:val="1"/>
      <w:numFmt w:val="bullet"/>
      <w:lvlText w:val="•"/>
      <w:lvlJc w:val="left"/>
      <w:pPr>
        <w:tabs>
          <w:tab w:val="num" w:pos="2880"/>
        </w:tabs>
        <w:ind w:left="2880" w:hanging="360"/>
      </w:pPr>
      <w:rPr>
        <w:rFonts w:ascii="Arial" w:hAnsi="Arial" w:hint="default"/>
      </w:rPr>
    </w:lvl>
    <w:lvl w:ilvl="4" w:tplc="33EE8608" w:tentative="1">
      <w:start w:val="1"/>
      <w:numFmt w:val="bullet"/>
      <w:lvlText w:val="•"/>
      <w:lvlJc w:val="left"/>
      <w:pPr>
        <w:tabs>
          <w:tab w:val="num" w:pos="3600"/>
        </w:tabs>
        <w:ind w:left="3600" w:hanging="360"/>
      </w:pPr>
      <w:rPr>
        <w:rFonts w:ascii="Arial" w:hAnsi="Arial" w:hint="default"/>
      </w:rPr>
    </w:lvl>
    <w:lvl w:ilvl="5" w:tplc="731A3B7C" w:tentative="1">
      <w:start w:val="1"/>
      <w:numFmt w:val="bullet"/>
      <w:lvlText w:val="•"/>
      <w:lvlJc w:val="left"/>
      <w:pPr>
        <w:tabs>
          <w:tab w:val="num" w:pos="4320"/>
        </w:tabs>
        <w:ind w:left="4320" w:hanging="360"/>
      </w:pPr>
      <w:rPr>
        <w:rFonts w:ascii="Arial" w:hAnsi="Arial" w:hint="default"/>
      </w:rPr>
    </w:lvl>
    <w:lvl w:ilvl="6" w:tplc="96888CB6" w:tentative="1">
      <w:start w:val="1"/>
      <w:numFmt w:val="bullet"/>
      <w:lvlText w:val="•"/>
      <w:lvlJc w:val="left"/>
      <w:pPr>
        <w:tabs>
          <w:tab w:val="num" w:pos="5040"/>
        </w:tabs>
        <w:ind w:left="5040" w:hanging="360"/>
      </w:pPr>
      <w:rPr>
        <w:rFonts w:ascii="Arial" w:hAnsi="Arial" w:hint="default"/>
      </w:rPr>
    </w:lvl>
    <w:lvl w:ilvl="7" w:tplc="C48253D0" w:tentative="1">
      <w:start w:val="1"/>
      <w:numFmt w:val="bullet"/>
      <w:lvlText w:val="•"/>
      <w:lvlJc w:val="left"/>
      <w:pPr>
        <w:tabs>
          <w:tab w:val="num" w:pos="5760"/>
        </w:tabs>
        <w:ind w:left="5760" w:hanging="360"/>
      </w:pPr>
      <w:rPr>
        <w:rFonts w:ascii="Arial" w:hAnsi="Arial" w:hint="default"/>
      </w:rPr>
    </w:lvl>
    <w:lvl w:ilvl="8" w:tplc="E71E235C"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6E9"/>
    <w:rsid w:val="00016DCE"/>
    <w:rsid w:val="000C0EB1"/>
    <w:rsid w:val="00111DDB"/>
    <w:rsid w:val="0029765A"/>
    <w:rsid w:val="002D222E"/>
    <w:rsid w:val="003849AF"/>
    <w:rsid w:val="005D5659"/>
    <w:rsid w:val="006422B5"/>
    <w:rsid w:val="006E4030"/>
    <w:rsid w:val="0088078E"/>
    <w:rsid w:val="0096526D"/>
    <w:rsid w:val="00A26F89"/>
    <w:rsid w:val="00C00956"/>
    <w:rsid w:val="00D57D8D"/>
    <w:rsid w:val="00D90073"/>
    <w:rsid w:val="00E006EE"/>
    <w:rsid w:val="00EC695D"/>
    <w:rsid w:val="00EF26E9"/>
    <w:rsid w:val="00F00E8C"/>
    <w:rsid w:val="00F47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DDB"/>
    <w:pPr>
      <w:spacing w:line="360" w:lineRule="auto"/>
    </w:pPr>
    <w:rPr>
      <w:rFonts w:ascii="Calibri" w:eastAsia="Times New Roman" w:hAnsi="Calibri" w:cs="Times New Roman"/>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0EB1"/>
    <w:pPr>
      <w:spacing w:after="0" w:line="240" w:lineRule="auto"/>
      <w:ind w:left="720"/>
      <w:contextualSpacing/>
    </w:pPr>
    <w:rPr>
      <w:rFonts w:ascii="Times New Roman" w:hAnsi="Times New Roman"/>
      <w:sz w:val="24"/>
      <w:szCs w:val="24"/>
      <w:lang w:val="en-US" w:eastAsia="en-US"/>
    </w:rPr>
  </w:style>
  <w:style w:type="character" w:styleId="Hyperlink">
    <w:name w:val="Hyperlink"/>
    <w:basedOn w:val="DefaultParagraphFont"/>
    <w:uiPriority w:val="99"/>
    <w:unhideWhenUsed/>
    <w:rsid w:val="00D57D8D"/>
    <w:rPr>
      <w:color w:val="0000FF" w:themeColor="hyperlink"/>
      <w:u w:val="single"/>
    </w:rPr>
  </w:style>
  <w:style w:type="paragraph" w:styleId="NoSpacing">
    <w:name w:val="No Spacing"/>
    <w:uiPriority w:val="1"/>
    <w:qFormat/>
    <w:rsid w:val="0096526D"/>
    <w:pPr>
      <w:spacing w:after="0" w:line="240" w:lineRule="auto"/>
    </w:pPr>
    <w:rPr>
      <w:rFonts w:ascii="Calibri" w:eastAsia="Times New Roman" w:hAnsi="Calibri" w:cs="Times New Roman"/>
      <w:sz w:val="20"/>
      <w:szCs w:val="20"/>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DDB"/>
    <w:pPr>
      <w:spacing w:line="360" w:lineRule="auto"/>
    </w:pPr>
    <w:rPr>
      <w:rFonts w:ascii="Calibri" w:eastAsia="Times New Roman" w:hAnsi="Calibri" w:cs="Times New Roman"/>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0EB1"/>
    <w:pPr>
      <w:spacing w:after="0" w:line="240" w:lineRule="auto"/>
      <w:ind w:left="720"/>
      <w:contextualSpacing/>
    </w:pPr>
    <w:rPr>
      <w:rFonts w:ascii="Times New Roman" w:hAnsi="Times New Roman"/>
      <w:sz w:val="24"/>
      <w:szCs w:val="24"/>
      <w:lang w:val="en-US" w:eastAsia="en-US"/>
    </w:rPr>
  </w:style>
  <w:style w:type="character" w:styleId="Hyperlink">
    <w:name w:val="Hyperlink"/>
    <w:basedOn w:val="DefaultParagraphFont"/>
    <w:uiPriority w:val="99"/>
    <w:unhideWhenUsed/>
    <w:rsid w:val="00D57D8D"/>
    <w:rPr>
      <w:color w:val="0000FF" w:themeColor="hyperlink"/>
      <w:u w:val="single"/>
    </w:rPr>
  </w:style>
  <w:style w:type="paragraph" w:styleId="NoSpacing">
    <w:name w:val="No Spacing"/>
    <w:uiPriority w:val="1"/>
    <w:qFormat/>
    <w:rsid w:val="0096526D"/>
    <w:pPr>
      <w:spacing w:after="0" w:line="240" w:lineRule="auto"/>
    </w:pPr>
    <w:rPr>
      <w:rFonts w:ascii="Calibri" w:eastAsia="Times New Roman" w:hAnsi="Calibri" w:cs="Times New Roman"/>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098626">
      <w:bodyDiv w:val="1"/>
      <w:marLeft w:val="0"/>
      <w:marRight w:val="0"/>
      <w:marTop w:val="0"/>
      <w:marBottom w:val="0"/>
      <w:divBdr>
        <w:top w:val="none" w:sz="0" w:space="0" w:color="auto"/>
        <w:left w:val="none" w:sz="0" w:space="0" w:color="auto"/>
        <w:bottom w:val="none" w:sz="0" w:space="0" w:color="auto"/>
        <w:right w:val="none" w:sz="0" w:space="0" w:color="auto"/>
      </w:divBdr>
      <w:divsChild>
        <w:div w:id="577639866">
          <w:marLeft w:val="547"/>
          <w:marRight w:val="0"/>
          <w:marTop w:val="96"/>
          <w:marBottom w:val="0"/>
          <w:divBdr>
            <w:top w:val="none" w:sz="0" w:space="0" w:color="auto"/>
            <w:left w:val="none" w:sz="0" w:space="0" w:color="auto"/>
            <w:bottom w:val="none" w:sz="0" w:space="0" w:color="auto"/>
            <w:right w:val="none" w:sz="0" w:space="0" w:color="auto"/>
          </w:divBdr>
        </w:div>
      </w:divsChild>
    </w:div>
    <w:div w:id="51210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blog.literaryconnections.co.uk/?p=5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Coultas@kingston.ac.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1457</Words>
  <Characters>8305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Kingston University</Company>
  <LinksUpToDate>false</LinksUpToDate>
  <CharactersWithSpaces>9743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 Coultas</dc:creator>
  <cp:lastModifiedBy>USER</cp:lastModifiedBy>
  <cp:revision>2</cp:revision>
  <cp:lastPrinted>2012-07-12T20:06:00Z</cp:lastPrinted>
  <dcterms:created xsi:type="dcterms:W3CDTF">2012-07-13T14:23:00Z</dcterms:created>
  <dcterms:modified xsi:type="dcterms:W3CDTF">2012-07-13T14:23:00Z</dcterms:modified>
</cp:coreProperties>
</file>